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00" w:rsidRPr="009E4500" w:rsidRDefault="009E4500" w:rsidP="009E450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E4500" w:rsidRPr="009E4500" w:rsidRDefault="009E4500" w:rsidP="009E4500">
      <w:pPr>
        <w:widowControl w:val="0"/>
        <w:autoSpaceDE w:val="0"/>
        <w:autoSpaceDN w:val="0"/>
        <w:adjustRightInd w:val="0"/>
        <w:snapToGrid w:val="0"/>
        <w:spacing w:before="100" w:beforeAutospacing="1" w:after="0" w:line="240" w:lineRule="auto"/>
        <w:rPr>
          <w:rFonts w:ascii="Calibri" w:eastAsia="Times New Roman" w:hAnsi="Calibri" w:cs="Calibri"/>
          <w:b/>
          <w:sz w:val="36"/>
          <w:szCs w:val="36"/>
          <w:lang w:eastAsia="fr-F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859326" cy="1047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d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1969" cy="10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500">
        <w:rPr>
          <w:rFonts w:ascii="Calibri" w:eastAsia="Times New Roman" w:hAnsi="Calibri" w:cs="Calibri"/>
          <w:b/>
          <w:color w:val="000000"/>
          <w:sz w:val="36"/>
          <w:szCs w:val="36"/>
          <w:lang w:eastAsia="fr-FR"/>
        </w:rPr>
        <w:t>Mini Bol d'Or Féminin</w:t>
      </w:r>
      <w:r w:rsidRPr="009E4500">
        <w:rPr>
          <w:rFonts w:ascii="Calibri" w:eastAsia="Times New Roman" w:hAnsi="Calibri" w:cs="Calibri"/>
          <w:b/>
          <w:color w:val="000000"/>
          <w:sz w:val="36"/>
          <w:szCs w:val="36"/>
          <w:lang w:eastAsia="fr-FR"/>
        </w:rPr>
        <w:t xml:space="preserve"> </w:t>
      </w:r>
      <w:r w:rsidRPr="009E4500">
        <w:rPr>
          <w:rFonts w:ascii="Calibri" w:eastAsia="Times New Roman" w:hAnsi="Calibri" w:cs="Calibri"/>
          <w:b/>
          <w:color w:val="000000"/>
          <w:sz w:val="36"/>
          <w:szCs w:val="36"/>
          <w:lang w:eastAsia="fr-FR"/>
        </w:rPr>
        <w:t>Qualificatif RHÔNE</w:t>
      </w:r>
    </w:p>
    <w:p w:rsidR="009E4500" w:rsidRPr="009E4500" w:rsidRDefault="009E4500" w:rsidP="009E4500">
      <w:pPr>
        <w:widowControl w:val="0"/>
        <w:autoSpaceDE w:val="0"/>
        <w:autoSpaceDN w:val="0"/>
        <w:adjustRightInd w:val="0"/>
        <w:snapToGrid w:val="0"/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MAJ 17/01/2019</w:t>
      </w:r>
    </w:p>
    <w:p w:rsidR="009E4500" w:rsidRDefault="009E4500" w:rsidP="009E4500">
      <w:pPr>
        <w:widowControl w:val="0"/>
        <w:autoSpaceDE w:val="0"/>
        <w:autoSpaceDN w:val="0"/>
        <w:adjustRightInd w:val="0"/>
        <w:snapToGrid w:val="0"/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REGLEMENT de la COMPETITION</w:t>
      </w:r>
    </w:p>
    <w:p w:rsidR="003552DD" w:rsidRPr="009E4500" w:rsidRDefault="003552DD" w:rsidP="009E4500">
      <w:pPr>
        <w:widowControl w:val="0"/>
        <w:autoSpaceDE w:val="0"/>
        <w:autoSpaceDN w:val="0"/>
        <w:adjustRightInd w:val="0"/>
        <w:snapToGrid w:val="0"/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9E4500" w:rsidRDefault="009E4500" w:rsidP="009E4500">
      <w:pPr>
        <w:widowControl w:val="0"/>
        <w:autoSpaceDE w:val="0"/>
        <w:autoSpaceDN w:val="0"/>
        <w:adjustRightInd w:val="0"/>
        <w:snapToGrid w:val="0"/>
        <w:spacing w:before="100" w:beforeAutospacing="1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  <w:r w:rsidRPr="009E450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>Article 1 :</w:t>
      </w:r>
    </w:p>
    <w:p w:rsidR="009E4500" w:rsidRDefault="009E4500" w:rsidP="009E4500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Le Mini Bol d’Or – 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Pré qualificatif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RHÔNE se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déroule sur une journée en 10 parties, 3 en doublettes et 7 en triplettes.</w:t>
      </w:r>
    </w:p>
    <w:p w:rsidR="009E4500" w:rsidRPr="009E4500" w:rsidRDefault="009E4500" w:rsidP="009E4500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Chaque joueuse doit participer obligatoirement à 2 parties en doublettes.</w:t>
      </w:r>
    </w:p>
    <w:p w:rsidR="009E4500" w:rsidRPr="009E4500" w:rsidRDefault="009E4500" w:rsidP="009E4500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Lors des parties en doublette, l’équipière qui ne joue pas doit venir à la Table de marque, signer 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la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feuille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de pointage, dès le signal de début de la partie.</w:t>
      </w:r>
    </w:p>
    <w:p w:rsidR="009E4500" w:rsidRPr="009E4500" w:rsidRDefault="009E4500" w:rsidP="009E4500">
      <w:pPr>
        <w:spacing w:before="100" w:beforeAutospacing="1" w:after="0" w:line="240" w:lineRule="auto"/>
        <w:mirrorIndents/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</w:pPr>
      <w:r w:rsidRPr="009E4500">
        <w:rPr>
          <w:rFonts w:ascii="Calibri" w:eastAsia="Times New Roman" w:hAnsi="Calibri" w:cs="Calibri"/>
          <w:sz w:val="24"/>
          <w:szCs w:val="24"/>
          <w:lang w:eastAsia="fr-FR"/>
        </w:rPr>
        <w:t> </w:t>
      </w:r>
      <w:r w:rsidRPr="009E450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>Article 2 :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Le remplacement d’une joueuse ne peut se faire qu’avant le début de la compétition.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En cas d’indisponibilité, dûment justifiée et contrôlée par le Club auquel appartient la joueuse, son remplacement est autorisé par une autre </w:t>
      </w:r>
      <w:r w:rsidR="003552DD"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joueuse, </w:t>
      </w:r>
      <w:r w:rsidR="003552D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Ce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remplacement est limité à une seule joueuse par équipe.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Une joueuse de nationalité étrangère (</w:t>
      </w:r>
      <w:proofErr w:type="gramStart"/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hors</w:t>
      </w:r>
      <w:proofErr w:type="gramEnd"/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C.E.) licenciée en France est autorisée à participer. De même, cette compétition est ouverte aux joueuses classées junior.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Si une équipe est absente, elle ne sera pas remplacée. Les équipes qui la rencontreront marqueront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une victoire par forfait (voir article 10).</w:t>
      </w:r>
    </w:p>
    <w:p w:rsidR="003552DD" w:rsidRDefault="009E4500" w:rsidP="003552DD">
      <w:pPr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sz w:val="24"/>
          <w:szCs w:val="24"/>
          <w:lang w:eastAsia="fr-FR"/>
        </w:rPr>
        <w:t> </w:t>
      </w:r>
    </w:p>
    <w:p w:rsidR="009E4500" w:rsidRPr="009E4500" w:rsidRDefault="009E4500" w:rsidP="003552DD">
      <w:pPr>
        <w:spacing w:after="0" w:line="240" w:lineRule="auto"/>
        <w:mirrorIndents/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</w:pPr>
      <w:r w:rsidRPr="009E450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>Article 3 :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Le temps des parties est variable et la gestion du temps des parties et du temps de repos entre les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parties est de la responsabilité de la Table de marque. Toutefois la partie s’arrêtera dès qu’une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équipe </w:t>
      </w:r>
      <w:r w:rsidRPr="009E45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aura marqué 13 points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Au signal de début de la partie l’équipe absente sera pénalisée d’1 point au bout de 2 minutes de</w:t>
      </w:r>
      <w:r w:rsidR="003552D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retard puis d’1 point toutes les 2 minutes.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Au signal de fin de partie, la mène en cours se termine dans la mesure </w:t>
      </w:r>
      <w:proofErr w:type="spellStart"/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ou</w:t>
      </w:r>
      <w:proofErr w:type="spellEnd"/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le but a été jeté,</w:t>
      </w:r>
    </w:p>
    <w:p w:rsidR="009E4500" w:rsidRPr="009E4500" w:rsidRDefault="003552DD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Réglementairement</w:t>
      </w:r>
      <w:r w:rsidR="009E4500"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ou non.</w:t>
      </w:r>
    </w:p>
    <w:p w:rsidR="009E4500" w:rsidRPr="009E4500" w:rsidRDefault="009E4500" w:rsidP="003552DD">
      <w:pPr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sz w:val="24"/>
          <w:szCs w:val="24"/>
          <w:lang w:eastAsia="fr-FR"/>
        </w:rPr>
        <w:t> 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</w:pPr>
      <w:r w:rsidRPr="009E450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>Article 4 :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Toute joueuse ne respectant pas le règlement reçoit un avertissement pouvant aller jusqu’à</w:t>
      </w:r>
    </w:p>
    <w:p w:rsidR="009E4500" w:rsidRPr="009E4500" w:rsidRDefault="003552DD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L’expulsion</w:t>
      </w:r>
      <w:r w:rsidR="009E4500"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de la compétition. Dans ce cas, l’équipe adverse marque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3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points</w:t>
      </w:r>
      <w:r w:rsidR="009E4500"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par le score de 13 à 0.</w:t>
      </w:r>
    </w:p>
    <w:p w:rsidR="009E4500" w:rsidRPr="009E4500" w:rsidRDefault="009E4500" w:rsidP="003552DD">
      <w:pPr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sz w:val="24"/>
          <w:szCs w:val="24"/>
          <w:lang w:eastAsia="fr-FR"/>
        </w:rPr>
        <w:t> </w:t>
      </w:r>
    </w:p>
    <w:p w:rsidR="003552DD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>Article 5 :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Attribution des points :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 1 </w:t>
      </w:r>
      <w:r w:rsidR="003552DD"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victoire :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3552D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3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points+ les points de goal-averages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 Egalité  </w:t>
      </w:r>
      <w:proofErr w:type="gramStart"/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  :</w:t>
      </w:r>
      <w:proofErr w:type="gramEnd"/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3552D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2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points, égalité : pas de points en + ou en -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 Défaite </w:t>
      </w:r>
      <w:proofErr w:type="gramStart"/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  :</w:t>
      </w:r>
      <w:proofErr w:type="gramEnd"/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 </w:t>
      </w:r>
      <w:r w:rsidR="003552D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1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points – les points de goal-averages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 Forfait  </w:t>
      </w:r>
      <w:proofErr w:type="gramStart"/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  :</w:t>
      </w:r>
      <w:proofErr w:type="gramEnd"/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0 point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lastRenderedPageBreak/>
        <w:t> </w:t>
      </w:r>
    </w:p>
    <w:p w:rsidR="003552DD" w:rsidRDefault="003552DD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</w:p>
    <w:p w:rsidR="003552DD" w:rsidRDefault="003552DD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</w:p>
    <w:p w:rsidR="003552DD" w:rsidRDefault="003552DD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</w:p>
    <w:p w:rsidR="003552DD" w:rsidRDefault="003552DD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</w:p>
    <w:p w:rsidR="003552DD" w:rsidRDefault="003552DD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</w:pPr>
      <w:r w:rsidRPr="009E450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>Article 6 :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Le cercle de lancement est à 50 cm et à 1m de la ligne de fonds des lignes de fond et des lignes de cadre.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Un seul jet de but est autorisé. Le but doit être lancé à 50 cm des lignes latérales du cadre et à 1m de la ligne de fond des jeux.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Dans le cas où il n’est pas valable, l’adversaire le place sur le terrain de manière réglementaire.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 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</w:pPr>
      <w:r w:rsidRPr="009E450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>Article 7 :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Les boules doivent être jouées dans le cadre de jeu. Les boules qui sortent du cadre de jeu sont</w:t>
      </w:r>
      <w:r w:rsidR="003552D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NULLES. Lorsque le cadre de jeu est délimité par un sillon (cas des jeux de « Lyonnaise »), </w:t>
      </w:r>
      <w:proofErr w:type="spellStart"/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lesboules</w:t>
      </w:r>
      <w:proofErr w:type="spellEnd"/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dans le sillon sont NULLES.</w:t>
      </w:r>
    </w:p>
    <w:p w:rsidR="009E4500" w:rsidRPr="009E4500" w:rsidRDefault="009E4500" w:rsidP="003552DD">
      <w:pPr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sz w:val="24"/>
          <w:szCs w:val="24"/>
          <w:lang w:eastAsia="fr-FR"/>
        </w:rPr>
        <w:t> </w:t>
      </w:r>
    </w:p>
    <w:p w:rsidR="003552DD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  <w:r w:rsidRPr="009E450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>Article 8 :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  <w:t>Le but est considéré comme perdu lorsqu’il sort du cadre de jeu. Lorsque le cadre de jeu est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  <w:t>délimité par un sillon (cas des jeux de « Lyonnaise »), le but dans le sillon est NUL.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  <w:t>Lorsque le but est perdu, si une seule équipe a encore des boules à jouer, elle marque autant de</w:t>
      </w:r>
      <w:r w:rsidR="003552D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point que de boules restant à jouer (Règlement fédéral)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</w:p>
    <w:p w:rsidR="003552DD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  <w:r w:rsidRPr="009E450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>Article 9 :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Le début et la fin des parties sont annoncés par un signal sonore.</w:t>
      </w:r>
    </w:p>
    <w:p w:rsidR="009E4500" w:rsidRPr="009E4500" w:rsidRDefault="009E4500" w:rsidP="003552DD">
      <w:pPr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sz w:val="24"/>
          <w:szCs w:val="24"/>
          <w:lang w:eastAsia="fr-FR"/>
        </w:rPr>
        <w:t> 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</w:pPr>
      <w:r w:rsidRPr="009E450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>Article 10 :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Si une équipe abandonne une partie, elle marque 0 point, l’équipe adverse 3 points. Le score</w:t>
      </w:r>
    </w:p>
    <w:p w:rsidR="009E4500" w:rsidRPr="009E4500" w:rsidRDefault="003552DD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Enregistré</w:t>
      </w:r>
      <w:r w:rsidR="009E4500"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est de 13 à 7.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Si une équipe abandonne la compétition, le planning des parties est conservé ainsi que les résultats</w:t>
      </w:r>
      <w:r w:rsidR="003552D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acquis avant l'abandon, les adversaires enregistrent une victoire sur le score de 13 à 7. L’équipe qui</w:t>
      </w:r>
      <w:r w:rsidR="003552D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abandonne sera classée en dernière position quel que soit le nombre de points obtenus </w:t>
      </w:r>
      <w:r w:rsidR="003552DD"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jusque-là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</w:p>
    <w:p w:rsidR="009E4500" w:rsidRPr="009E4500" w:rsidRDefault="009E4500" w:rsidP="003552DD">
      <w:pPr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sz w:val="24"/>
          <w:szCs w:val="24"/>
          <w:lang w:eastAsia="fr-FR"/>
        </w:rPr>
        <w:t> 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</w:pPr>
      <w:r w:rsidRPr="009E450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>Article 11 :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Il est formellement interdit de fumer et d’utiliser des téléphones portables sur les jeux.</w:t>
      </w:r>
    </w:p>
    <w:p w:rsidR="009E4500" w:rsidRPr="009E4500" w:rsidRDefault="009E4500" w:rsidP="003552DD">
      <w:pPr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sz w:val="24"/>
          <w:szCs w:val="24"/>
          <w:lang w:eastAsia="fr-FR"/>
        </w:rPr>
        <w:t> 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</w:pPr>
      <w:r w:rsidRPr="009E450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>Article 12 :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Les joueuses doivent être présentes sur les jeux à 8h00 pour la remise des licences.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Les parties débutent à 8h30 précises et se terminent à 19h30 au plus tard. </w:t>
      </w:r>
    </w:p>
    <w:p w:rsidR="009E4500" w:rsidRPr="009E4500" w:rsidRDefault="009E4500" w:rsidP="003552DD">
      <w:pPr>
        <w:spacing w:after="0" w:line="240" w:lineRule="auto"/>
        <w:mirrorIndents/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</w:pPr>
      <w:r w:rsidRPr="009E4500">
        <w:rPr>
          <w:rFonts w:ascii="Calibri" w:eastAsia="Times New Roman" w:hAnsi="Calibri" w:cs="Calibri"/>
          <w:sz w:val="24"/>
          <w:szCs w:val="24"/>
          <w:lang w:eastAsia="fr-FR"/>
        </w:rPr>
        <w:t> 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</w:pPr>
      <w:r w:rsidRPr="009E450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>Article 13 :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Les équipes doivent obligatoirement </w:t>
      </w:r>
      <w:r w:rsidRPr="009E4500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avoir une tenue homogène (au moins le haut).</w:t>
      </w:r>
    </w:p>
    <w:p w:rsidR="009E4500" w:rsidRDefault="009E4500" w:rsidP="003552DD">
      <w:pPr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sz w:val="24"/>
          <w:szCs w:val="24"/>
          <w:lang w:eastAsia="fr-FR"/>
        </w:rPr>
        <w:t> </w:t>
      </w:r>
    </w:p>
    <w:p w:rsidR="003552DD" w:rsidRPr="009E4500" w:rsidRDefault="003552DD" w:rsidP="003552DD">
      <w:pPr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3552DD" w:rsidRDefault="003552DD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</w:p>
    <w:p w:rsidR="003552DD" w:rsidRDefault="003552DD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</w:p>
    <w:p w:rsidR="003552DD" w:rsidRDefault="003552DD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</w:p>
    <w:p w:rsidR="003552DD" w:rsidRDefault="003552DD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</w:p>
    <w:p w:rsidR="003552DD" w:rsidRDefault="003552DD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</w:p>
    <w:p w:rsidR="003552DD" w:rsidRDefault="003552DD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</w:p>
    <w:p w:rsidR="003552DD" w:rsidRDefault="003552DD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</w:p>
    <w:p w:rsidR="003552DD" w:rsidRDefault="003552DD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</w:p>
    <w:p w:rsidR="003552DD" w:rsidRDefault="003552DD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</w:p>
    <w:p w:rsidR="003552DD" w:rsidRDefault="003552DD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</w:p>
    <w:p w:rsidR="003552DD" w:rsidRDefault="003552DD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  <w:bookmarkStart w:id="0" w:name="_GoBack"/>
    </w:p>
    <w:bookmarkEnd w:id="0"/>
    <w:p w:rsidR="003552DD" w:rsidRDefault="003552DD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</w:pPr>
      <w:r w:rsidRPr="009E450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>Article 14 :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L’arbitrage est assuré par un arbitre au moins </w:t>
      </w:r>
      <w:r w:rsidR="003552DD"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départemental (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pour le </w:t>
      </w:r>
      <w:proofErr w:type="gramStart"/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qualificatif  RHÔNE</w:t>
      </w:r>
      <w:proofErr w:type="gramEnd"/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) proposé par la Commission des arbitres du Département.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Ses frais et ses indemnités d’arbitrage sont à la charge du Comité Départemental.</w:t>
      </w:r>
    </w:p>
    <w:p w:rsidR="009E4500" w:rsidRPr="009E4500" w:rsidRDefault="009E4500" w:rsidP="003552DD">
      <w:pPr>
        <w:spacing w:after="0" w:line="240" w:lineRule="auto"/>
        <w:mirrorIndents/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</w:pPr>
      <w:r w:rsidRPr="009E4500"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  <w:t> 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>Article 15 :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Le classement des équipes sera effectué comme suit :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    1. nombre de points</w:t>
      </w:r>
    </w:p>
    <w:p w:rsidR="003552DD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    2. en cas d’égalité :</w:t>
      </w:r>
    </w:p>
    <w:p w:rsidR="009E4500" w:rsidRPr="009E4500" w:rsidRDefault="003552DD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6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 </w:t>
      </w:r>
      <w:r w:rsidR="009E4500"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nombre de parties gagnées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                           - résultat des rencontres directes entre les ex-aequo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                           - différence de points générale entre les équipes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                           - décision du jury</w:t>
      </w:r>
    </w:p>
    <w:p w:rsidR="009E4500" w:rsidRPr="009E4500" w:rsidRDefault="009E4500" w:rsidP="003552DD">
      <w:pPr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sz w:val="24"/>
          <w:szCs w:val="24"/>
          <w:lang w:eastAsia="fr-FR"/>
        </w:rPr>
        <w:t> </w:t>
      </w:r>
    </w:p>
    <w:p w:rsidR="003552DD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>Article 16 :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Composition du jury.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Le jury comprend : - le délégué Du Comité </w:t>
      </w:r>
      <w:r w:rsidR="003552DD"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Départemental (</w:t>
      </w: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Président du jury)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                   - deux membres désignés par le Comité organisateur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                   - l’arbitre principal de la compétition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500" w:rsidRPr="009E4500" w:rsidRDefault="009E4500" w:rsidP="003552DD">
      <w:pPr>
        <w:spacing w:after="0" w:line="240" w:lineRule="auto"/>
        <w:mirrorIndents/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</w:pPr>
      <w:r w:rsidRPr="009E4500"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  <w:t> 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</w:pPr>
      <w:r w:rsidRPr="009E450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>Article 17 :</w:t>
      </w:r>
    </w:p>
    <w:p w:rsid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Tous les cas non prévus au présent règlement seront traités par le jury dont les décisions sont sans appel.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9E4500" w:rsidRPr="009E4500" w:rsidRDefault="009E4500" w:rsidP="003552DD">
      <w:pPr>
        <w:widowControl w:val="0"/>
        <w:autoSpaceDE w:val="0"/>
        <w:autoSpaceDN w:val="0"/>
        <w:adjustRightInd w:val="0"/>
        <w:snapToGrid w:val="0"/>
        <w:spacing w:after="0" w:line="240" w:lineRule="auto"/>
        <w:mirrorIndents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  <w:r w:rsidRPr="009E45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</w:p>
    <w:p w:rsidR="009E4500" w:rsidRDefault="009E4500" w:rsidP="003552DD">
      <w:pPr>
        <w:spacing w:after="0" w:line="240" w:lineRule="auto"/>
      </w:pPr>
    </w:p>
    <w:sectPr w:rsidR="009E4500" w:rsidSect="003552DD">
      <w:footerReference w:type="default" r:id="rId7"/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E2A" w:rsidRDefault="00666E2A" w:rsidP="003552DD">
      <w:pPr>
        <w:spacing w:after="0" w:line="240" w:lineRule="auto"/>
      </w:pPr>
      <w:r>
        <w:separator/>
      </w:r>
    </w:p>
  </w:endnote>
  <w:endnote w:type="continuationSeparator" w:id="0">
    <w:p w:rsidR="00666E2A" w:rsidRDefault="00666E2A" w:rsidP="0035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2DD" w:rsidRDefault="003552DD">
    <w:pPr>
      <w:pStyle w:val="Pieddepage"/>
    </w:pPr>
    <w:r>
      <w:rPr>
        <w:noProof/>
      </w:rPr>
      <mc:AlternateContent>
        <mc:Choice Requires="wps">
          <w:drawing>
            <wp:inline distT="0" distB="0" distL="0" distR="0">
              <wp:extent cx="512445" cy="441325"/>
              <wp:effectExtent l="0" t="0" r="1905" b="0"/>
              <wp:docPr id="2" name="Organigramme : Alternativ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2DD" w:rsidRDefault="003552DD" w:rsidP="003552DD">
                          <w:pPr>
                            <w:pStyle w:val="Pieddepage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Organigramme : Alternative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" filled="f" fillcolor="#5c83b4" stroked="f" strokecolor="#737373">
              <v:textbox>
                <w:txbxContent>
                  <w:p w:rsidR="003552DD" w:rsidRDefault="003552DD" w:rsidP="003552DD">
                    <w:pPr>
                      <w:pStyle w:val="Pieddepage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E2A" w:rsidRDefault="00666E2A" w:rsidP="003552DD">
      <w:pPr>
        <w:spacing w:after="0" w:line="240" w:lineRule="auto"/>
      </w:pPr>
      <w:r>
        <w:separator/>
      </w:r>
    </w:p>
  </w:footnote>
  <w:footnote w:type="continuationSeparator" w:id="0">
    <w:p w:rsidR="00666E2A" w:rsidRDefault="00666E2A" w:rsidP="00355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00"/>
    <w:rsid w:val="003552DD"/>
    <w:rsid w:val="00666E2A"/>
    <w:rsid w:val="009E4500"/>
    <w:rsid w:val="00C3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5BBE35"/>
  <w15:chartTrackingRefBased/>
  <w15:docId w15:val="{A052E1BA-9FCB-4B1B-98D0-89F5CD5A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2DD"/>
  </w:style>
  <w:style w:type="paragraph" w:styleId="Pieddepage">
    <w:name w:val="footer"/>
    <w:basedOn w:val="Normal"/>
    <w:link w:val="PieddepageCar"/>
    <w:uiPriority w:val="99"/>
    <w:unhideWhenUsed/>
    <w:rsid w:val="0035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Secrétariat</cp:lastModifiedBy>
  <cp:revision>1</cp:revision>
  <cp:lastPrinted>2019-01-22T09:33:00Z</cp:lastPrinted>
  <dcterms:created xsi:type="dcterms:W3CDTF">2019-01-22T09:13:00Z</dcterms:created>
  <dcterms:modified xsi:type="dcterms:W3CDTF">2019-01-22T09:34:00Z</dcterms:modified>
</cp:coreProperties>
</file>